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274F8E" w:rsidP="001F55F6">
      <w:pPr>
        <w:spacing w:before="120" w:after="120"/>
        <w:rPr>
          <w:rFonts w:cstheme="minorHAnsi"/>
          <w:b/>
          <w:sz w:val="20"/>
          <w:szCs w:val="20"/>
        </w:rPr>
      </w:pPr>
      <w:bookmarkStart w:id="0" w:name="23"/>
      <w:bookmarkStart w:id="1" w:name="_Hlk32839505"/>
      <w:bookmarkEnd w:id="0"/>
      <w:r w:rsidRPr="001F55F6">
        <w:rPr>
          <w:rFonts w:ascii="Calibri" w:eastAsia="Calibri" w:hAnsi="Calibri" w:cs="Calibri"/>
          <w:b/>
          <w:sz w:val="20"/>
          <w:szCs w:val="20"/>
        </w:rPr>
        <w:t>OPŠTA BOLNICA "SVETI LUKA"</w:t>
      </w:r>
      <w:r w:rsidRPr="001F55F6">
        <w:rPr>
          <w:rFonts w:cstheme="minorHAnsi"/>
          <w:b/>
          <w:sz w:val="20"/>
          <w:szCs w:val="20"/>
        </w:rPr>
        <w:t> </w:t>
      </w:r>
    </w:p>
    <w:p w:rsidR="001F55F6" w:rsidRPr="001F55F6" w:rsidRDefault="00274F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PIB: </w:t>
      </w:r>
      <w:bookmarkStart w:id="2" w:name="_GoBack"/>
      <w:bookmarkStart w:id="3" w:name="25"/>
      <w:bookmarkEnd w:id="2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107163198</w:t>
      </w:r>
    </w:p>
    <w:p w:rsidR="001F55F6" w:rsidRPr="001F55F6" w:rsidRDefault="00274F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6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MIHAILA BR.51</w:t>
      </w:r>
    </w:p>
    <w:p w:rsidR="001F55F6" w:rsidRPr="001F55F6" w:rsidRDefault="00274F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8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11300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7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SMEDEREVO</w:t>
      </w:r>
    </w:p>
    <w:p w:rsidR="001F55F6" w:rsidRPr="001F55F6" w:rsidRDefault="00274F8E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274F8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10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18.09.2020</w:t>
      </w:r>
    </w:p>
    <w:p w:rsidR="001F55F6" w:rsidRPr="001F55F6" w:rsidRDefault="00274F8E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9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5-2020-55-30</w:t>
      </w:r>
    </w:p>
    <w:p w:rsidR="001F55F6" w:rsidRPr="00A9707B" w:rsidRDefault="00274F8E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8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274F8E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274F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4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OPŠTA BOLNICA "SVETI LUKA"</w:t>
      </w:r>
    </w:p>
    <w:p w:rsidR="001F55F6" w:rsidRPr="001F55F6" w:rsidRDefault="00274F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1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5-2020-55</w:t>
      </w:r>
    </w:p>
    <w:p w:rsidR="001F55F6" w:rsidRPr="001F55F6" w:rsidRDefault="00274F8E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20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>Rezervni delovi i ugradnja za osposobljavanje CT aparta</w:t>
      </w:r>
    </w:p>
    <w:p w:rsidR="001F55F6" w:rsidRPr="001F55F6" w:rsidRDefault="00274F8E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9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2020/S F02-0000408</w:t>
      </w:r>
    </w:p>
    <w:p w:rsidR="001F55F6" w:rsidRPr="001F55F6" w:rsidRDefault="00274F8E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46025" w:rsidRPr="001F55F6">
        <w:rPr>
          <w:rFonts w:asciiTheme="minorHAnsi" w:hAnsiTheme="minorHAnsi" w:cstheme="minorHAnsi"/>
          <w:sz w:val="20"/>
          <w:szCs w:val="20"/>
        </w:rPr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46025" w:rsidRPr="001F55F6">
        <w:rPr>
          <w:rFonts w:asciiTheme="minorHAnsi" w:hAnsiTheme="minorHAnsi" w:cstheme="minorHAnsi"/>
          <w:sz w:val="20"/>
          <w:szCs w:val="20"/>
        </w:rPr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B46025" w:rsidRPr="001F55F6">
        <w:rPr>
          <w:rFonts w:asciiTheme="minorHAnsi" w:hAnsiTheme="minorHAnsi" w:cstheme="minorHAnsi"/>
          <w:sz w:val="20"/>
          <w:szCs w:val="20"/>
        </w:rPr>
      </w:r>
      <w:r w:rsidR="00B46025"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274F8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2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34320000</w:t>
      </w:r>
    </w:p>
    <w:p w:rsidR="001F55F6" w:rsidRPr="001F55F6" w:rsidRDefault="00274F8E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>Rezervni delovi i ugradnja za osposobljavanje CT aparta</w:t>
      </w:r>
    </w:p>
    <w:p w:rsidR="001F55F6" w:rsidRPr="00B84A8C" w:rsidRDefault="00274F8E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8.507.385,00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274F8E" w:rsidP="00B84A8C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proofErr w:type="spellStart"/>
      <w:r w:rsidRPr="001F55F6">
        <w:rPr>
          <w:rFonts w:cstheme="minorHAnsi"/>
          <w:sz w:val="20"/>
          <w:szCs w:val="20"/>
        </w:rPr>
        <w:t>Ugovor</w:t>
      </w:r>
      <w:proofErr w:type="spellEnd"/>
      <w:r w:rsidRPr="001F55F6">
        <w:rPr>
          <w:rFonts w:cstheme="minorHAnsi"/>
          <w:sz w:val="20"/>
          <w:szCs w:val="20"/>
        </w:rPr>
        <w:t xml:space="preserve"> se </w:t>
      </w:r>
      <w:proofErr w:type="spellStart"/>
      <w:r w:rsidRPr="001F55F6">
        <w:rPr>
          <w:rFonts w:cstheme="minorHAnsi"/>
          <w:sz w:val="20"/>
          <w:szCs w:val="20"/>
        </w:rPr>
        <w:t>dodeljuje</w:t>
      </w:r>
      <w:bookmarkStart w:id="22" w:name="11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</w:t>
      </w:r>
      <w:proofErr w:type="spellEnd"/>
      <w:r w:rsidRPr="001F55F6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b/>
          <w:sz w:val="20"/>
          <w:szCs w:val="20"/>
        </w:rPr>
        <w:t>subjektu</w:t>
      </w:r>
      <w:proofErr w:type="spellEnd"/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D127D9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274F8E" w:rsidP="00B84A8C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3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MEDTECH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105911463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USTANIČKA, 144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6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7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8"/>
            <w:bookmarkEnd w:id="28"/>
            <w:proofErr w:type="spellStart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  <w:proofErr w:type="spellEnd"/>
          </w:p>
        </w:tc>
      </w:tr>
    </w:tbl>
    <w:p w:rsidR="00A9707B" w:rsidRPr="00A9707B" w:rsidRDefault="00A9707B" w:rsidP="00B84A8C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RDefault="00274F8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bez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8.407.360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274F8E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bCs/>
          <w:sz w:val="20"/>
          <w:szCs w:val="20"/>
        </w:rPr>
        <w:t>Vrednostugovora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(</w:t>
      </w:r>
      <w:proofErr w:type="spellStart"/>
      <w:r w:rsidRPr="001F55F6">
        <w:rPr>
          <w:rFonts w:cstheme="minorHAnsi"/>
          <w:bCs/>
          <w:sz w:val="20"/>
          <w:szCs w:val="20"/>
        </w:rPr>
        <w:t>sa</w:t>
      </w:r>
      <w:proofErr w:type="spellEnd"/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6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10.088.832</w:t>
      </w:r>
      <w:proofErr w:type="gramStart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,00</w:t>
      </w:r>
      <w:proofErr w:type="gramEnd"/>
    </w:p>
    <w:p w:rsidR="001F55F6" w:rsidRPr="00B84A8C" w:rsidRDefault="00274F8E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proofErr w:type="spellStart"/>
      <w:r w:rsidRPr="001F55F6">
        <w:rPr>
          <w:rFonts w:cstheme="minorHAnsi"/>
          <w:sz w:val="20"/>
          <w:szCs w:val="20"/>
        </w:rPr>
        <w:t>Valuta</w:t>
      </w:r>
      <w:proofErr w:type="spellEnd"/>
      <w:proofErr w:type="gramStart"/>
      <w:r w:rsidRPr="001F55F6">
        <w:rPr>
          <w:rFonts w:cstheme="minorHAnsi"/>
          <w:sz w:val="20"/>
          <w:szCs w:val="20"/>
        </w:rPr>
        <w:t>:</w:t>
      </w:r>
      <w:proofErr w:type="gramEnd"/>
      <w:r w:rsidR="00B84A8C">
        <w:rPr>
          <w:rFonts w:cstheme="minorHAnsi"/>
          <w:sz w:val="20"/>
          <w:szCs w:val="20"/>
        </w:rPr>
        <w:t> </w:t>
      </w:r>
      <w:bookmarkStart w:id="31" w:name="7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</w:pPr>
    </w:p>
    <w:p w:rsidR="001F55F6" w:rsidRPr="001F55F6" w:rsidRDefault="00274F8E" w:rsidP="001F55F6">
      <w:pPr>
        <w:spacing w:before="120" w:after="120"/>
        <w:rPr>
          <w:rFonts w:cstheme="minorHAnsi"/>
          <w:b/>
          <w:sz w:val="24"/>
          <w:szCs w:val="24"/>
        </w:rPr>
      </w:pPr>
      <w:proofErr w:type="spellStart"/>
      <w:r w:rsidRPr="001F55F6">
        <w:rPr>
          <w:rFonts w:cstheme="minorHAnsi"/>
          <w:b/>
          <w:sz w:val="24"/>
          <w:szCs w:val="24"/>
        </w:rPr>
        <w:t>Obrazloženje</w:t>
      </w:r>
      <w:proofErr w:type="spellEnd"/>
      <w:r w:rsidRPr="001F55F6">
        <w:rPr>
          <w:rFonts w:cstheme="minorHAnsi"/>
          <w:b/>
          <w:sz w:val="24"/>
          <w:szCs w:val="24"/>
        </w:rPr>
        <w:t>:</w:t>
      </w:r>
    </w:p>
    <w:p w:rsidR="001F55F6" w:rsidRPr="001F55F6" w:rsidRDefault="00274F8E" w:rsidP="001F55F6">
      <w:pPr>
        <w:spacing w:before="120" w:after="120"/>
        <w:rPr>
          <w:rFonts w:ascii="Calibri" w:eastAsia="Calibri" w:hAnsi="Calibri" w:cs="Calibri"/>
          <w:sz w:val="20"/>
          <w:szCs w:val="20"/>
        </w:rPr>
      </w:pPr>
      <w:bookmarkStart w:id="32" w:name="4"/>
      <w:bookmarkEnd w:id="32"/>
      <w:proofErr w:type="spellStart"/>
      <w:r w:rsidRPr="001F55F6">
        <w:rPr>
          <w:rFonts w:ascii="Calibri" w:eastAsia="Calibri" w:hAnsi="Calibri" w:cs="Calibri"/>
          <w:sz w:val="20"/>
          <w:szCs w:val="20"/>
        </w:rPr>
        <w:t>Ponuda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ponuđača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MEDTECH DOO BEOGRAD, USTANIČKA, 144, 11050, Beograd (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Voždovac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Srbija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, u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potpunosti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zadovoljava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tražene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tehničke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karakteristike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dobra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koje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predmet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javne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nabavke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1F55F6">
        <w:rPr>
          <w:rFonts w:ascii="Calibri" w:eastAsia="Calibri" w:hAnsi="Calibri" w:cs="Calibri"/>
          <w:sz w:val="20"/>
          <w:szCs w:val="20"/>
        </w:rPr>
        <w:t>Ponuđač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 MEDTECH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DOO BEOGRAD, USTANIČKA, 144, 11050, Beograd (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Voždovac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),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Srbija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ispunjava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zadati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kriterijum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za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kvalitativni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izbor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privrednog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subjekta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. </w:t>
      </w:r>
      <w:proofErr w:type="spellStart"/>
      <w:proofErr w:type="gramStart"/>
      <w:r w:rsidRPr="001F55F6">
        <w:rPr>
          <w:rFonts w:ascii="Calibri" w:eastAsia="Calibri" w:hAnsi="Calibri" w:cs="Calibri"/>
          <w:sz w:val="20"/>
          <w:szCs w:val="20"/>
        </w:rPr>
        <w:t>Ukupna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ponuđena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cena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je u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okviru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procenjene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vrednosti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>.</w:t>
      </w:r>
      <w:proofErr w:type="gram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proofErr w:type="gramStart"/>
      <w:r w:rsidRPr="001F55F6">
        <w:rPr>
          <w:rFonts w:ascii="Calibri" w:eastAsia="Calibri" w:hAnsi="Calibri" w:cs="Calibri"/>
          <w:sz w:val="20"/>
          <w:szCs w:val="20"/>
        </w:rPr>
        <w:t>Ponuđač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je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ponudu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podneo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1F55F6">
        <w:rPr>
          <w:rFonts w:ascii="Calibri" w:eastAsia="Calibri" w:hAnsi="Calibri" w:cs="Calibri"/>
          <w:sz w:val="20"/>
          <w:szCs w:val="20"/>
        </w:rPr>
        <w:t>samostalno</w:t>
      </w:r>
      <w:proofErr w:type="spellEnd"/>
      <w:r w:rsidRPr="001F55F6">
        <w:rPr>
          <w:rFonts w:ascii="Calibri" w:eastAsia="Calibri" w:hAnsi="Calibri" w:cs="Calibri"/>
          <w:sz w:val="20"/>
          <w:szCs w:val="20"/>
        </w:rPr>
        <w:t>.</w:t>
      </w:r>
      <w:proofErr w:type="gramEnd"/>
    </w:p>
    <w:p w:rsidR="00A9707B" w:rsidRPr="00A9707B" w:rsidRDefault="00A9707B" w:rsidP="001F55F6">
      <w:pPr>
        <w:pStyle w:val="Pododjeljci"/>
        <w:rPr>
          <w:b w:val="0"/>
          <w:bCs/>
          <w:sz w:val="20"/>
          <w:szCs w:val="20"/>
        </w:rPr>
      </w:pPr>
    </w:p>
    <w:p w:rsidR="001F55F6" w:rsidRPr="001F55F6" w:rsidRDefault="00274F8E" w:rsidP="001F55F6">
      <w:pPr>
        <w:pStyle w:val="Pododjeljci"/>
      </w:pPr>
      <w:r w:rsidRPr="001F55F6">
        <w:t>Uputstvo o prav</w:t>
      </w:r>
      <w:r w:rsidR="001F27FD">
        <w:t>n</w:t>
      </w:r>
      <w:r w:rsidRPr="001F55F6">
        <w:t>om sredstvu:</w:t>
      </w:r>
    </w:p>
    <w:p w:rsidR="001F55F6" w:rsidRPr="001F55F6" w:rsidRDefault="00274F8E" w:rsidP="001F55F6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  <w:sectPr w:rsidR="001F55F6" w:rsidRPr="001F55F6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33" w:name="12"/>
      <w:bookmarkEnd w:id="1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odluke naručioca kojom se okončava postupak javne nabavke, u skladu sa odredbama Zakona o javnim nabavkama („Službeni glasnik“, broj 91/19)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"/>
        <w:gridCol w:w="4520"/>
        <w:gridCol w:w="6346"/>
        <w:gridCol w:w="4517"/>
        <w:gridCol w:w="13"/>
      </w:tblGrid>
      <w:tr w:rsidR="00D127D9">
        <w:trPr>
          <w:trHeight w:val="163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rPr>
          <w:trHeight w:val="436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127D9">
              <w:trPr>
                <w:trHeight w:val="358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IZVEŠTAJ O POSTUPKU</w:t>
                  </w: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rPr>
          <w:trHeight w:val="19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rPr>
          <w:trHeight w:val="340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6307"/>
            </w:tblGrid>
            <w:tr w:rsidR="00D127D9">
              <w:trPr>
                <w:trHeight w:val="262"/>
              </w:trPr>
              <w:tc>
                <w:tcPr>
                  <w:tcW w:w="6346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kreiranja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izveštaja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18.09.2020 10:08:37</w:t>
                  </w: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rPr>
          <w:trHeight w:val="120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3"/>
            </w:tblGrid>
            <w:tr w:rsidR="00D127D9">
              <w:trPr>
                <w:trHeight w:val="500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postupku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Rezervni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osposobljavanje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CT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aparta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Ref.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5-2020-55</w:t>
                  </w:r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postupka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postupak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vrednost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8.507.385,00</w:t>
                  </w:r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34320000-Mehanički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rezervni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osim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motora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motora</w:t>
                  </w:r>
                  <w:proofErr w:type="spellEnd"/>
                </w:p>
              </w:tc>
            </w:tr>
            <w:tr w:rsidR="00D127D9">
              <w:trPr>
                <w:trHeight w:val="257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opis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nabavke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nabavka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ugradnja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rezervnih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osposobljavanje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CT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aparata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D127D9">
              <w:trPr>
                <w:trHeight w:val="60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zašto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predmet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partije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Obzirom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radi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rezervnim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delovima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koji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se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odnose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CT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aparat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neophodno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isti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ponuđač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ugradi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sve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rezervne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delove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garanciju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kompletan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uređaj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2020/S F02-0000408</w:t>
                  </w:r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poziv</w:t>
                  </w:r>
                  <w:proofErr w:type="spellEnd"/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19.08.2020</w:t>
                  </w:r>
                </w:p>
              </w:tc>
            </w:tr>
            <w:tr w:rsidR="00D127D9">
              <w:trPr>
                <w:trHeight w:val="260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podnošenje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11.09.2020 10:00:00</w:t>
                  </w: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295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127D9">
              <w:trPr>
                <w:trHeight w:val="38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komisije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javnu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nabavku</w:t>
                  </w:r>
                  <w:proofErr w:type="spellEnd"/>
                </w:p>
              </w:tc>
            </w:tr>
            <w:tr w:rsidR="00D127D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prezime</w:t>
                  </w:r>
                  <w:proofErr w:type="spellEnd"/>
                </w:p>
              </w:tc>
            </w:tr>
            <w:tr w:rsidR="00D127D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Arsenijević</w:t>
                  </w:r>
                  <w:proofErr w:type="spellEnd"/>
                </w:p>
              </w:tc>
            </w:tr>
            <w:tr w:rsidR="00D127D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Suzana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Janković</w:t>
                  </w:r>
                  <w:proofErr w:type="spellEnd"/>
                </w:p>
              </w:tc>
            </w:tr>
            <w:tr w:rsidR="00D127D9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Vlada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Milovanović</w:t>
                  </w:r>
                  <w:proofErr w:type="spellEnd"/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198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:rsidR="00470D24" w:rsidRDefault="00470D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  <w:p w:rsidR="00470D24" w:rsidRDefault="00470D24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127D9" w:rsidTr="00470D24">
              <w:trPr>
                <w:trHeight w:val="442"/>
              </w:trPr>
              <w:tc>
                <w:tcPr>
                  <w:tcW w:w="1535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0D24" w:rsidRDefault="00470D24">
                  <w:pPr>
                    <w:spacing w:before="0" w:after="0"/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</w:pPr>
                </w:p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predmetu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partijama</w:t>
                  </w:r>
                  <w:proofErr w:type="spellEnd"/>
                </w:p>
              </w:tc>
            </w:tr>
            <w:tr w:rsidR="00D127D9" w:rsidTr="00470D24">
              <w:trPr>
                <w:trHeight w:val="2215"/>
              </w:trPr>
              <w:tc>
                <w:tcPr>
                  <w:tcW w:w="153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</w:tblGrid>
                  <w:tr w:rsidR="00D127D9">
                    <w:trPr>
                      <w:trHeight w:val="149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127D9">
                          <w:trPr>
                            <w:trHeight w:val="3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dodelu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osnovu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27D9">
                    <w:trPr>
                      <w:trHeight w:val="387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5300"/>
                        </w:tblGrid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kriterijuma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period. </w:t>
                              </w: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27D9">
                    <w:trPr>
                      <w:trHeight w:val="262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193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127D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o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otvaranju</w:t>
                  </w:r>
                  <w:proofErr w:type="spellEnd"/>
                </w:p>
              </w:tc>
            </w:tr>
            <w:tr w:rsidR="00D127D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Datum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vreme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11.09.2020 10:00:00</w:t>
                  </w:r>
                </w:p>
              </w:tc>
            </w:tr>
            <w:tr w:rsidR="00D127D9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otvaranje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u: 11.09.2020 10:00:12</w:t>
                  </w:r>
                </w:p>
              </w:tc>
            </w:tr>
            <w:tr w:rsidR="00D127D9">
              <w:trPr>
                <w:trHeight w:val="260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15334"/>
                  </w:tblGrid>
                  <w:tr w:rsidR="00D127D9">
                    <w:trPr>
                      <w:trHeight w:val="3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2"/>
                          <w:gridCol w:w="11583"/>
                        </w:tblGrid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pristiglih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27D9"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81"/>
                          <w:gridCol w:w="2248"/>
                          <w:gridCol w:w="2223"/>
                          <w:gridCol w:w="1400"/>
                          <w:gridCol w:w="2843"/>
                        </w:tblGrid>
                        <w:tr w:rsidR="00D127D9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podnošenja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GE HOLDINGS DOO BEOGRAD, BULEVAR MIHAILA PUPINA, 6/17, 11070, Beograd (Novi Beograd),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DM012/20 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11.9.2020. 00:28:40</w:t>
                              </w: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BEOGRAD, USTANIČKA, 144, 11050, Beograd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Voždovac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P-1109/20</w:t>
                              </w:r>
                            </w:p>
                          </w:tc>
                          <w:tc>
                            <w:tcPr>
                              <w:tcW w:w="140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11.9.2020. 09:49:21</w:t>
                              </w: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27D9">
                    <w:trPr>
                      <w:trHeight w:val="162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7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481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5396" w:type="dxa"/>
            <w:gridSpan w:val="4"/>
            <w:shd w:val="clear" w:color="auto" w:fill="auto"/>
          </w:tcPr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p w:rsidR="00470D24" w:rsidRDefault="00470D24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127D9" w:rsidTr="00470D24">
              <w:trPr>
                <w:trHeight w:val="382"/>
              </w:trPr>
              <w:tc>
                <w:tcPr>
                  <w:tcW w:w="1535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70D24" w:rsidRDefault="00470D24">
                  <w:pPr>
                    <w:spacing w:before="0" w:after="0"/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</w:pPr>
                </w:p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podnetih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</w:p>
              </w:tc>
            </w:tr>
            <w:tr w:rsidR="00D127D9" w:rsidTr="00470D24">
              <w:trPr>
                <w:trHeight w:val="1417"/>
              </w:trPr>
              <w:tc>
                <w:tcPr>
                  <w:tcW w:w="1535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D127D9"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3"/>
                          <w:gridCol w:w="1122"/>
                          <w:gridCol w:w="1127"/>
                          <w:gridCol w:w="1132"/>
                          <w:gridCol w:w="1124"/>
                        </w:tblGrid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period. 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mesec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GE HOLDINGS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8259380.00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9911256.00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nakon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prebacivanja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novčanih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Ministarstva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zdravlja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10088832.00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ugradnje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>
                    <w:trPr>
                      <w:trHeight w:val="56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128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5396" w:type="dxa"/>
            <w:gridSpan w:val="4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7"/>
            </w:tblGrid>
            <w:tr w:rsidR="00D127D9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prikaz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nakon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dopuštenih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ispravaka</w:t>
                  </w:r>
                  <w:proofErr w:type="spellEnd"/>
                </w:p>
              </w:tc>
            </w:tr>
            <w:tr w:rsidR="00D127D9">
              <w:trPr>
                <w:trHeight w:val="14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"/>
                    <w:gridCol w:w="9431"/>
                    <w:gridCol w:w="5903"/>
                  </w:tblGrid>
                  <w:tr w:rsidR="00D127D9">
                    <w:trPr>
                      <w:trHeight w:val="60"/>
                    </w:trPr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>
                    <w:tc>
                      <w:tcPr>
                        <w:tcW w:w="2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5"/>
                          <w:gridCol w:w="1131"/>
                          <w:gridCol w:w="1133"/>
                          <w:gridCol w:w="1122"/>
                          <w:gridCol w:w="1127"/>
                          <w:gridCol w:w="1132"/>
                          <w:gridCol w:w="1124"/>
                        </w:tblGrid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zahtevi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ponuđen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period.  [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mesec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ponude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GE HOLDINGS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8507380.00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E68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10208856.00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nakon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prebacivanja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novčanih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sredstava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strane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Ministarstva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zdravlja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8407360.00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10088832.00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uplata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tekući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račun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30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dana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isporuke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ugradnje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29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rPr>
          <w:trHeight w:val="148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5409" w:type="dxa"/>
            <w:gridSpan w:val="5"/>
            <w:shd w:val="clear" w:color="auto" w:fill="auto"/>
          </w:tcPr>
          <w:p w:rsidR="00470D24" w:rsidRDefault="00470D24"/>
          <w:p w:rsidR="00470D24" w:rsidRDefault="00470D24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127D9" w:rsidTr="00470D24">
              <w:trPr>
                <w:trHeight w:val="418"/>
              </w:trPr>
              <w:tc>
                <w:tcPr>
                  <w:tcW w:w="1537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Rezultati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ocene</w:t>
                  </w:r>
                  <w:proofErr w:type="spellEnd"/>
                </w:p>
              </w:tc>
            </w:tr>
            <w:tr w:rsidR="00D127D9" w:rsidTr="00470D24">
              <w:trPr>
                <w:trHeight w:val="1700"/>
              </w:trPr>
              <w:tc>
                <w:tcPr>
                  <w:tcW w:w="1537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7"/>
                    <w:gridCol w:w="13"/>
                  </w:tblGrid>
                  <w:tr w:rsidR="00D127D9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2"/>
                          <w:gridCol w:w="4475"/>
                          <w:gridCol w:w="2604"/>
                          <w:gridCol w:w="2309"/>
                          <w:gridCol w:w="1410"/>
                        </w:tblGrid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Konačna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PDV)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  <w:proofErr w:type="spellEnd"/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GE HOLDINGS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8.507.380,00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10.208.856,00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uz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pregled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skladu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142.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4.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Zakona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Opšta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bolnica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„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Sveti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Luka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“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Smederevo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obratila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GE HOLDINGS DOO BEOGRAD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zahtevom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br.  5-2020-55-26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15.09.2020.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kako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bi se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prihvatila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ispravka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načinjene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greške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dostavljenoj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: DM012/20 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11.09.2020.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godine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postupku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ugradnje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rezervnih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delova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osposobljavanje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CT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aparata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br.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5-2020-55,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obzirom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skladu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142.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stav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6.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Zakona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javnim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nabavkama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kada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postoji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razlika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između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jedinične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ukupne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merodavna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jedinična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Objašnjenje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korekcije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63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GE HOLDINGS DOO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BEOGRAD  se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zakonom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predviđenom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roku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saglasio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ispravkom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računskih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grešaka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  <w:tr w:rsidR="00D127D9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451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6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8.407.360,00</w:t>
                              </w:r>
                            </w:p>
                          </w:tc>
                          <w:tc>
                            <w:tcPr>
                              <w:tcW w:w="23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10.088.832,00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930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D127D9">
        <w:tc>
          <w:tcPr>
            <w:tcW w:w="15409" w:type="dxa"/>
            <w:gridSpan w:val="5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0"/>
            </w:tblGrid>
            <w:tr w:rsidR="00D127D9">
              <w:trPr>
                <w:trHeight w:val="406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127D9" w:rsidRPr="00470D24" w:rsidRDefault="00274F8E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Rangiranje</w:t>
                  </w:r>
                  <w:proofErr w:type="spellEnd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ponuda</w:t>
                  </w:r>
                  <w:proofErr w:type="spellEnd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i</w:t>
                  </w:r>
                  <w:proofErr w:type="spellEnd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predlog</w:t>
                  </w:r>
                  <w:proofErr w:type="spellEnd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izbora</w:t>
                  </w:r>
                  <w:proofErr w:type="spellEnd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 w:rsidRPr="00470D24">
                    <w:rPr>
                      <w:rFonts w:ascii="Arial" w:eastAsia="Arial" w:hAnsi="Arial"/>
                      <w:b/>
                      <w:i/>
                      <w:color w:val="000000"/>
                      <w:sz w:val="24"/>
                      <w:szCs w:val="20"/>
                    </w:rPr>
                    <w:t>obustave</w:t>
                  </w:r>
                  <w:proofErr w:type="spellEnd"/>
                </w:p>
              </w:tc>
            </w:tr>
            <w:tr w:rsidR="00D127D9">
              <w:trPr>
                <w:trHeight w:val="393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"/>
                    <w:gridCol w:w="3743"/>
                    <w:gridCol w:w="11601"/>
                    <w:gridCol w:w="13"/>
                  </w:tblGrid>
                  <w:tr w:rsidR="00D127D9" w:rsidRPr="00470D24"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96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8"/>
                        </w:tblGrid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Ugovor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će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se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dodeliti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127D9" w:rsidRPr="00470D24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Sukob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koji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utvrđen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mere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su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povodom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toga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preduzete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Nije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evidentirano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postojanje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sukoba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interesa</w:t>
                              </w:r>
                              <w:proofErr w:type="spellEnd"/>
                            </w:p>
                          </w:tc>
                        </w:tr>
                        <w:tr w:rsidR="00D127D9" w:rsidRPr="00470D24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Dodatni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podaci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D127D9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127D9" w:rsidRPr="00470D24">
                    <w:trPr>
                      <w:trHeight w:val="298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 w:rsidRPr="00470D24"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5383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3"/>
                          <w:gridCol w:w="1612"/>
                          <w:gridCol w:w="7288"/>
                          <w:gridCol w:w="1894"/>
                        </w:tblGrid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ranga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Izabire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se</w:t>
                              </w:r>
                            </w:p>
                          </w:tc>
                        </w:tr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 8,407,360.00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GE HOLDINGS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: 8,507,380.00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 w:rsidRPr="00470D24">
                    <w:trPr>
                      <w:trHeight w:val="327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 w:rsidRPr="00470D24">
                    <w:trPr>
                      <w:trHeight w:val="340"/>
                    </w:trPr>
                    <w:tc>
                      <w:tcPr>
                        <w:tcW w:w="3765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17"/>
                        </w:tblGrid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3765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  <w:proofErr w:type="spellEnd"/>
                            </w:p>
                          </w:tc>
                        </w:tr>
                      </w:tbl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62"/>
                        </w:tblGrid>
                        <w:tr w:rsidR="00D127D9" w:rsidRPr="00470D24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D127D9" w:rsidRPr="00470D24" w:rsidRDefault="00274F8E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ponuđača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MEDTECH DOO BEOGRAD, USTANIČKA, 144, 11050, Beograd (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Voždovac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, u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potpunosti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zadovoljava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tražene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tehničke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karakteristike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dobra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koje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predmet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javne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nabavke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proofErr w:type="gram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 MEDTECH</w:t>
                              </w:r>
                              <w:proofErr w:type="gram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DOO BEOGRAD, USTANIČKA, 144, 11050, Beograd (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Voždovac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),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Srbija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ispunjava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zadati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kriterijum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kvalitativni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izbor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privrednog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subjekta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Ukupna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ponuđena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cena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je u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okviru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procenjene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vrednosti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je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ponudu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podneo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  <w:proofErr w:type="spellEnd"/>
                              <w:r w:rsidRPr="00470D24">
                                <w:rPr>
                                  <w:rFonts w:ascii="Arial" w:eastAsia="Arial" w:hAnsi="Arial"/>
                                  <w:b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D127D9" w:rsidRPr="00470D24">
                    <w:trPr>
                      <w:trHeight w:val="493"/>
                    </w:trPr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3752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D127D9" w:rsidRPr="00470D24" w:rsidRDefault="00D127D9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i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D127D9" w:rsidRPr="00470D24" w:rsidRDefault="00D127D9">
                  <w:pPr>
                    <w:spacing w:before="0" w:after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127D9">
        <w:trPr>
          <w:trHeight w:val="3959"/>
        </w:trPr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20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6346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4517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D127D9" w:rsidRDefault="00D127D9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D127D9" w:rsidRDefault="00D127D9">
      <w:pPr>
        <w:spacing w:before="0" w:after="0"/>
        <w:rPr>
          <w:rFonts w:ascii="Times New Roman" w:eastAsia="Times New Roman" w:hAnsi="Times New Roman"/>
          <w:sz w:val="20"/>
          <w:szCs w:val="20"/>
        </w:rPr>
      </w:pPr>
    </w:p>
    <w:sectPr w:rsidR="00D127D9" w:rsidSect="00D127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7" w:h="11905" w:orient="landscape"/>
      <w:pgMar w:top="566" w:right="566" w:bottom="566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F8E" w:rsidRDefault="00274F8E" w:rsidP="00D127D9">
      <w:pPr>
        <w:spacing w:before="0" w:after="0"/>
      </w:pPr>
      <w:r>
        <w:separator/>
      </w:r>
    </w:p>
  </w:endnote>
  <w:endnote w:type="continuationSeparator" w:id="1">
    <w:p w:rsidR="00274F8E" w:rsidRDefault="00274F8E" w:rsidP="00D127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B46025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 w:rsidRPr="00B46025">
      <w:rPr>
        <w:caps/>
        <w:noProof/>
        <w:sz w:val="12"/>
        <w:szCs w:val="12"/>
        <w:lang w:val="hr-HR"/>
      </w:rPr>
      <w:pict>
        <v:line id="Straight Connector 2" o:spid="_x0000_s2049" style="position:absolute;z-index:251659264;visibility:visible;mso-width-relative:margin" from="0,-2.2pt" to="510.1pt,-2.2pt" strokeweight=".5pt">
          <v:stroke joinstyle="miter"/>
          <w10:wrap type="topAndBottom"/>
        </v:line>
      </w:pic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 w:rsidR="00274F8E">
      <w:rPr>
        <w:caps/>
        <w:sz w:val="12"/>
        <w:szCs w:val="12"/>
        <w:lang w:val="hr-HR"/>
      </w:rPr>
      <w:tab/>
    </w:r>
    <w:r w:rsidR="00274F8E"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="00274F8E"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6D18A8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F8E" w:rsidRDefault="00274F8E" w:rsidP="00D127D9">
      <w:pPr>
        <w:spacing w:before="0" w:after="0"/>
      </w:pPr>
      <w:r>
        <w:separator/>
      </w:r>
    </w:p>
  </w:footnote>
  <w:footnote w:type="continuationSeparator" w:id="1">
    <w:p w:rsidR="00274F8E" w:rsidRDefault="00274F8E" w:rsidP="00D127D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D9" w:rsidRDefault="00D127D9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/>
  <w:rsids>
    <w:rsidRoot w:val="000A667E"/>
    <w:rsid w:val="000377CB"/>
    <w:rsid w:val="00064642"/>
    <w:rsid w:val="00087A93"/>
    <w:rsid w:val="00092830"/>
    <w:rsid w:val="000A667E"/>
    <w:rsid w:val="000F6975"/>
    <w:rsid w:val="00165E99"/>
    <w:rsid w:val="001B4006"/>
    <w:rsid w:val="001F27FD"/>
    <w:rsid w:val="001F55F6"/>
    <w:rsid w:val="00274F8E"/>
    <w:rsid w:val="002B375A"/>
    <w:rsid w:val="002B5412"/>
    <w:rsid w:val="002E6AB7"/>
    <w:rsid w:val="003406EF"/>
    <w:rsid w:val="00342432"/>
    <w:rsid w:val="003753D5"/>
    <w:rsid w:val="00390B66"/>
    <w:rsid w:val="003F4A2A"/>
    <w:rsid w:val="00430FB5"/>
    <w:rsid w:val="00470D24"/>
    <w:rsid w:val="00471857"/>
    <w:rsid w:val="004D3A78"/>
    <w:rsid w:val="005349E8"/>
    <w:rsid w:val="00544D4B"/>
    <w:rsid w:val="0059265A"/>
    <w:rsid w:val="005B6EAC"/>
    <w:rsid w:val="00666AE4"/>
    <w:rsid w:val="006A4384"/>
    <w:rsid w:val="006C28AA"/>
    <w:rsid w:val="006D18A8"/>
    <w:rsid w:val="00723884"/>
    <w:rsid w:val="007500EB"/>
    <w:rsid w:val="007B33EC"/>
    <w:rsid w:val="00910CBD"/>
    <w:rsid w:val="00934E20"/>
    <w:rsid w:val="00943D6F"/>
    <w:rsid w:val="00A338C8"/>
    <w:rsid w:val="00A9707B"/>
    <w:rsid w:val="00AA44B3"/>
    <w:rsid w:val="00AE028A"/>
    <w:rsid w:val="00B07D76"/>
    <w:rsid w:val="00B12B6B"/>
    <w:rsid w:val="00B36DFD"/>
    <w:rsid w:val="00B46025"/>
    <w:rsid w:val="00B84A8C"/>
    <w:rsid w:val="00BE147A"/>
    <w:rsid w:val="00C3138D"/>
    <w:rsid w:val="00C4780E"/>
    <w:rsid w:val="00CB35CB"/>
    <w:rsid w:val="00D1225B"/>
    <w:rsid w:val="00D127D9"/>
    <w:rsid w:val="00D1691F"/>
    <w:rsid w:val="00D25CF6"/>
    <w:rsid w:val="00D4767B"/>
    <w:rsid w:val="00DE52D6"/>
    <w:rsid w:val="00DF4791"/>
    <w:rsid w:val="00E22A9B"/>
    <w:rsid w:val="00EA7586"/>
    <w:rsid w:val="00F24FBF"/>
    <w:rsid w:val="00F9120D"/>
    <w:rsid w:val="00FE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D127D9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vladami</cp:lastModifiedBy>
  <cp:revision>3</cp:revision>
  <dcterms:created xsi:type="dcterms:W3CDTF">2020-09-18T08:22:00Z</dcterms:created>
  <dcterms:modified xsi:type="dcterms:W3CDTF">2020-09-18T08:25:00Z</dcterms:modified>
</cp:coreProperties>
</file>